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BCB" w:rsidRPr="00774BCB" w:rsidRDefault="00774BCB" w:rsidP="0044090B">
      <w:pPr>
        <w:rPr>
          <w:b/>
          <w:sz w:val="28"/>
        </w:rPr>
      </w:pPr>
      <w:r w:rsidRPr="00774BCB">
        <w:rPr>
          <w:b/>
          <w:sz w:val="28"/>
        </w:rPr>
        <w:t>Freiwillige Feuerwehr in Europa</w:t>
      </w:r>
    </w:p>
    <w:p w:rsidR="00774BCB" w:rsidRDefault="00774BCB" w:rsidP="0044090B"/>
    <w:p w:rsidR="0044090B" w:rsidRDefault="0044090B" w:rsidP="0044090B">
      <w:r>
        <w:t xml:space="preserve">Eine </w:t>
      </w:r>
      <w:r w:rsidRPr="0044090B">
        <w:rPr>
          <w:bCs/>
        </w:rPr>
        <w:t>Freiwillige Feuerwehr</w:t>
      </w:r>
      <w:r>
        <w:t xml:space="preserve"> ist eine öffentliche </w:t>
      </w:r>
      <w:r w:rsidRPr="0044090B">
        <w:t>Feuerwehr</w:t>
      </w:r>
      <w:r>
        <w:t xml:space="preserve">, die sich hauptsächlich aus </w:t>
      </w:r>
      <w:r w:rsidRPr="0044090B">
        <w:t>ehrenamtlichen</w:t>
      </w:r>
      <w:r>
        <w:t xml:space="preserve"> Mitgliedern, mitunter auch einigen hauptamtlichen Kräften (z.B. für den </w:t>
      </w:r>
      <w:r w:rsidRPr="0044090B">
        <w:t>Rettungsdienst</w:t>
      </w:r>
      <w:r>
        <w:t xml:space="preserve"> oder in Werkstätten) zusammensetzt. Im Gegensatz dazu besteht eine </w:t>
      </w:r>
      <w:r w:rsidRPr="0044090B">
        <w:t>Berufsfeuerwehr</w:t>
      </w:r>
      <w:r>
        <w:t xml:space="preserve"> aus rein hauptamtlichen Einsatzkräften. </w:t>
      </w:r>
    </w:p>
    <w:p w:rsidR="0044090B" w:rsidRDefault="0044090B" w:rsidP="0044090B">
      <w:r>
        <w:t xml:space="preserve">Entgegen der weitverbreiteten Meinung, in den meisten Städten Deutschlands gebe es eine Berufsfeuerwehr, wird der abwehrende </w:t>
      </w:r>
      <w:r w:rsidRPr="0044090B">
        <w:t>Brandschutz</w:t>
      </w:r>
      <w:r>
        <w:t xml:space="preserve"> und die allgemeine Hilfe in Deutschland hauptsächlich durch freiwillige Kräfte sichergestellt. Nur in den sieben bayerischen Großstädten gibt es Berufsfeuerwehren, im Gegensatz dazu stellen in Bayern rund 7.600 Freiwillige Feuerwehren den Brandschutz sicher. Zur Verstärkung der Berufsfeuerwehren gibt es auch hier Freiwillige Feuerwehren. </w:t>
      </w:r>
    </w:p>
    <w:p w:rsidR="0044090B" w:rsidRDefault="0044090B" w:rsidP="0044090B">
      <w:r>
        <w:t xml:space="preserve">Auch in Österreich gibt es nur in sechs Landeshauptstädten Berufsfeuerwehren. In Österreich führen auch zahlreiche Betriebsfeuerwehren den Zusatz </w:t>
      </w:r>
      <w:r>
        <w:rPr>
          <w:i/>
          <w:iCs/>
        </w:rPr>
        <w:t>Freiwillig</w:t>
      </w:r>
      <w:r>
        <w:t xml:space="preserve"> um zu zeigen, dass die Betriebsfeuerwehr keine hauptberuflichen Mitglieder hat. Andererseits können Feuerwehren zwar freiwillig sein, aber im Namen dieses nicht anführen, wie in </w:t>
      </w:r>
      <w:r w:rsidRPr="0044090B">
        <w:t>Vorarlberg</w:t>
      </w:r>
      <w:r>
        <w:t xml:space="preserve">, wo diese als Orts- oder Stadtfeuerwehr bezeichnet werden. </w:t>
      </w:r>
    </w:p>
    <w:p w:rsidR="0044090B" w:rsidRDefault="0044090B" w:rsidP="0044090B">
      <w:r>
        <w:t xml:space="preserve">Die Organisation, den abwehrenden Brandschutz und die allgemeine Hilfe größtenteils mit Freiwilligen Feuerwehren abzudecken, hat sich vor allem in der Schweiz, in Österreich, Deutschland und Polen durchgesetzt, während in den meisten anderen west- und auch osteuropäischen Ländern andere </w:t>
      </w:r>
      <w:r w:rsidRPr="0044090B">
        <w:t>Organisationsformen</w:t>
      </w:r>
      <w:r>
        <w:t xml:space="preserve"> vorherrschen. Geschichtlich bedingt bestehen auch im Gegensatz zum übrigen Italien in </w:t>
      </w:r>
      <w:r w:rsidRPr="0044090B">
        <w:t>Südtirol</w:t>
      </w:r>
      <w:r>
        <w:t xml:space="preserve"> fast nur Freiwillige Feuerwehren. In manchen Ländern gibt es jedoch Bestrebungen, ein freiwilliges System zu etablieren. Ein Beispiel hierfür ist die </w:t>
      </w:r>
      <w:r w:rsidRPr="0044090B">
        <w:t>ESEPA</w:t>
      </w:r>
      <w:r>
        <w:t xml:space="preserve"> in Griechenland. </w:t>
      </w:r>
    </w:p>
    <w:p w:rsidR="0044090B" w:rsidRPr="00774BCB" w:rsidRDefault="0044090B" w:rsidP="0044090B">
      <w:pPr>
        <w:pStyle w:val="StandardWeb"/>
        <w:rPr>
          <w:rFonts w:asciiTheme="minorHAnsi" w:eastAsiaTheme="minorHAnsi" w:hAnsiTheme="minorHAnsi" w:cstheme="minorBidi"/>
          <w:sz w:val="22"/>
          <w:szCs w:val="22"/>
          <w:lang w:eastAsia="en-US"/>
        </w:rPr>
      </w:pPr>
      <w:r w:rsidRPr="00774BCB">
        <w:rPr>
          <w:rFonts w:asciiTheme="minorHAnsi" w:eastAsiaTheme="minorHAnsi" w:hAnsiTheme="minorHAnsi" w:cstheme="minorBidi"/>
          <w:sz w:val="22"/>
          <w:szCs w:val="22"/>
          <w:lang w:eastAsia="en-US"/>
        </w:rPr>
        <w:t xml:space="preserve">Die Nachwuchsförderung innerhalb einer Freiwilligen Feuerwehr wird häufig durch spezielle Einheiten innerhalb der örtlichen Feuerwehr durchgeführt. In Deutschland ist dies vor allem die Jugendfeuerwehr, in einigen Bundesländern existiert für jüngere Kinder die Kinderfeuerwehr, in Österreich die Feuerwehrjugend. </w:t>
      </w:r>
    </w:p>
    <w:p w:rsidR="0044090B" w:rsidRPr="00774BCB" w:rsidRDefault="0044090B" w:rsidP="0044090B">
      <w:pPr>
        <w:pStyle w:val="StandardWeb"/>
        <w:rPr>
          <w:rFonts w:asciiTheme="minorHAnsi" w:eastAsiaTheme="minorHAnsi" w:hAnsiTheme="minorHAnsi" w:cstheme="minorBidi"/>
          <w:sz w:val="22"/>
          <w:szCs w:val="22"/>
          <w:lang w:eastAsia="en-US"/>
        </w:rPr>
      </w:pPr>
      <w:r w:rsidRPr="00774BCB">
        <w:rPr>
          <w:rFonts w:asciiTheme="minorHAnsi" w:eastAsiaTheme="minorHAnsi" w:hAnsiTheme="minorHAnsi" w:cstheme="minorBidi"/>
          <w:sz w:val="22"/>
          <w:szCs w:val="22"/>
          <w:lang w:eastAsia="en-US"/>
        </w:rPr>
        <w:t>Abhängig von den nationalen oder Länderregelungen wird in der Jugendfeuerwehr bzw. der Feuerwehrjugend die Möglichkeit geboten, bereits in einem jugendlichen Alter der Feuerwehr beizutreten. Mitglieder der Jugendfeuerwehr dürfen zumeist nicht am aktiven Dienst (Übungen der Einsatzkräfte und Einsätze) teilnehmen, sie sollen einerseits feuerwehrspezifische Ausbildung in Theorie und Praxis erhalten und andererseits auch ein allgemeines Jugendprogramm erleben. In Bayern dürfen die Jugendlichen mit 1</w:t>
      </w:r>
      <w:r w:rsidR="00774BCB" w:rsidRPr="00774BCB">
        <w:rPr>
          <w:rFonts w:asciiTheme="minorHAnsi" w:eastAsiaTheme="minorHAnsi" w:hAnsiTheme="minorHAnsi" w:cstheme="minorBidi"/>
          <w:sz w:val="22"/>
          <w:szCs w:val="22"/>
          <w:lang w:eastAsia="en-US"/>
        </w:rPr>
        <w:t>2</w:t>
      </w:r>
      <w:r w:rsidRPr="00774BCB">
        <w:rPr>
          <w:rFonts w:asciiTheme="minorHAnsi" w:eastAsiaTheme="minorHAnsi" w:hAnsiTheme="minorHAnsi" w:cstheme="minorBidi"/>
          <w:sz w:val="22"/>
          <w:szCs w:val="22"/>
          <w:lang w:eastAsia="en-US"/>
        </w:rPr>
        <w:t xml:space="preserve"> Jahren der Jugendfeuerwehr beitreten. Von Feuerwehr zu Feuerwehr ist es unterschiedlich, ab wann die Jugendfeuerwehrmitglieder an Einsätzen teilnehmen dürfen, die Einsatzarten sind jedoch für Minderjährige stark begrenzt. </w:t>
      </w:r>
    </w:p>
    <w:p w:rsidR="0044090B" w:rsidRPr="00774BCB" w:rsidRDefault="0044090B" w:rsidP="0044090B">
      <w:pPr>
        <w:pStyle w:val="StandardWeb"/>
        <w:rPr>
          <w:rFonts w:asciiTheme="minorHAnsi" w:eastAsiaTheme="minorHAnsi" w:hAnsiTheme="minorHAnsi" w:cstheme="minorBidi"/>
          <w:sz w:val="22"/>
          <w:szCs w:val="22"/>
          <w:lang w:eastAsia="en-US"/>
        </w:rPr>
      </w:pPr>
      <w:r w:rsidRPr="00774BCB">
        <w:rPr>
          <w:rFonts w:asciiTheme="minorHAnsi" w:eastAsiaTheme="minorHAnsi" w:hAnsiTheme="minorHAnsi" w:cstheme="minorBidi"/>
          <w:sz w:val="22"/>
          <w:szCs w:val="22"/>
          <w:lang w:eastAsia="en-US"/>
        </w:rPr>
        <w:t xml:space="preserve">In Kinderfeuerwehren werden Kinder zwischen </w:t>
      </w:r>
      <w:r w:rsidR="00774BCB" w:rsidRPr="00774BCB">
        <w:rPr>
          <w:rFonts w:asciiTheme="minorHAnsi" w:eastAsiaTheme="minorHAnsi" w:hAnsiTheme="minorHAnsi" w:cstheme="minorBidi"/>
          <w:sz w:val="22"/>
          <w:szCs w:val="22"/>
          <w:lang w:eastAsia="en-US"/>
        </w:rPr>
        <w:t>6</w:t>
      </w:r>
      <w:r w:rsidRPr="00774BCB">
        <w:rPr>
          <w:rFonts w:asciiTheme="minorHAnsi" w:eastAsiaTheme="minorHAnsi" w:hAnsiTheme="minorHAnsi" w:cstheme="minorBidi"/>
          <w:sz w:val="22"/>
          <w:szCs w:val="22"/>
          <w:lang w:eastAsia="en-US"/>
        </w:rPr>
        <w:t xml:space="preserve"> und </w:t>
      </w:r>
      <w:r w:rsidR="00774BCB" w:rsidRPr="00774BCB">
        <w:rPr>
          <w:rFonts w:asciiTheme="minorHAnsi" w:eastAsiaTheme="minorHAnsi" w:hAnsiTheme="minorHAnsi" w:cstheme="minorBidi"/>
          <w:sz w:val="22"/>
          <w:szCs w:val="22"/>
          <w:lang w:eastAsia="en-US"/>
        </w:rPr>
        <w:t>11</w:t>
      </w:r>
      <w:r w:rsidRPr="00774BCB">
        <w:rPr>
          <w:rFonts w:asciiTheme="minorHAnsi" w:eastAsiaTheme="minorHAnsi" w:hAnsiTheme="minorHAnsi" w:cstheme="minorBidi"/>
          <w:sz w:val="22"/>
          <w:szCs w:val="22"/>
          <w:lang w:eastAsia="en-US"/>
        </w:rPr>
        <w:t xml:space="preserve"> Jahren spielerisch an die Themen Feuer, Brandschutz und Feuerwehr herangeführt. Die große Altersdifferenz in Kinderfeuerwehren erfordert meist eine gewisse Binnendifferenzierung, so wird bei den jüngeren Mitgliedern durch Malen und Spielen an die Brandschutzerziehung in Kindertagesstätten und Kindergärten angeschlossen, bei älteren Mitgliedern mit Übungen an die Brandschutzerziehung und Vorführübungen in Grundschulen.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2"/>
        <w:gridCol w:w="1064"/>
        <w:gridCol w:w="1990"/>
        <w:gridCol w:w="1173"/>
        <w:gridCol w:w="1120"/>
        <w:gridCol w:w="1089"/>
        <w:gridCol w:w="1104"/>
      </w:tblGrid>
      <w:tr w:rsidR="0050453D" w:rsidTr="0050453D">
        <w:trPr>
          <w:tblHeader/>
          <w:tblCellSpacing w:w="15" w:type="dxa"/>
        </w:trPr>
        <w:tc>
          <w:tcPr>
            <w:tcW w:w="0" w:type="auto"/>
            <w:vAlign w:val="center"/>
            <w:hideMark/>
          </w:tcPr>
          <w:p w:rsidR="0050453D" w:rsidRDefault="0050453D">
            <w:pPr>
              <w:jc w:val="center"/>
              <w:rPr>
                <w:b/>
                <w:bCs/>
                <w:sz w:val="24"/>
                <w:szCs w:val="24"/>
              </w:rPr>
            </w:pPr>
            <w:r>
              <w:rPr>
                <w:b/>
                <w:bCs/>
              </w:rPr>
              <w:lastRenderedPageBreak/>
              <w:t xml:space="preserve">Land </w:t>
            </w:r>
          </w:p>
        </w:tc>
        <w:tc>
          <w:tcPr>
            <w:tcW w:w="0" w:type="auto"/>
            <w:vAlign w:val="center"/>
            <w:hideMark/>
          </w:tcPr>
          <w:p w:rsidR="0050453D" w:rsidRDefault="0050453D">
            <w:pPr>
              <w:jc w:val="center"/>
              <w:rPr>
                <w:b/>
                <w:bCs/>
                <w:sz w:val="24"/>
                <w:szCs w:val="24"/>
              </w:rPr>
            </w:pPr>
            <w:r>
              <w:rPr>
                <w:b/>
                <w:bCs/>
              </w:rPr>
              <w:t>Einwo</w:t>
            </w:r>
            <w:bookmarkStart w:id="0" w:name="_GoBack"/>
            <w:bookmarkEnd w:id="0"/>
            <w:r>
              <w:rPr>
                <w:b/>
                <w:bCs/>
              </w:rPr>
              <w:t xml:space="preserve">hner </w:t>
            </w:r>
          </w:p>
        </w:tc>
        <w:tc>
          <w:tcPr>
            <w:tcW w:w="0" w:type="auto"/>
            <w:vAlign w:val="center"/>
            <w:hideMark/>
          </w:tcPr>
          <w:p w:rsidR="0050453D" w:rsidRDefault="0050453D">
            <w:pPr>
              <w:jc w:val="center"/>
              <w:rPr>
                <w:b/>
                <w:bCs/>
                <w:sz w:val="24"/>
                <w:szCs w:val="24"/>
              </w:rPr>
            </w:pPr>
            <w:r>
              <w:rPr>
                <w:b/>
                <w:bCs/>
              </w:rPr>
              <w:t>Gesamtanzahl</w:t>
            </w:r>
            <w:r>
              <w:rPr>
                <w:b/>
                <w:bCs/>
              </w:rPr>
              <w:br/>
              <w:t xml:space="preserve">Feuerwehrmitglieder </w:t>
            </w:r>
          </w:p>
        </w:tc>
        <w:tc>
          <w:tcPr>
            <w:tcW w:w="0" w:type="auto"/>
            <w:vAlign w:val="center"/>
            <w:hideMark/>
          </w:tcPr>
          <w:p w:rsidR="0050453D" w:rsidRDefault="0050453D">
            <w:pPr>
              <w:jc w:val="center"/>
              <w:rPr>
                <w:b/>
                <w:bCs/>
                <w:sz w:val="24"/>
                <w:szCs w:val="24"/>
              </w:rPr>
            </w:pPr>
            <w:r>
              <w:rPr>
                <w:b/>
                <w:bCs/>
              </w:rPr>
              <w:t xml:space="preserve">Verhältnis von Einwohnern zu </w:t>
            </w:r>
            <w:proofErr w:type="spellStart"/>
            <w:r>
              <w:rPr>
                <w:b/>
                <w:bCs/>
              </w:rPr>
              <w:t>Feuerwehr</w:t>
            </w:r>
            <w:r>
              <w:rPr>
                <w:b/>
                <w:bCs/>
              </w:rPr>
              <w:softHyphen/>
              <w:t>mitgliedern</w:t>
            </w:r>
            <w:proofErr w:type="spellEnd"/>
            <w:r>
              <w:rPr>
                <w:b/>
                <w:bCs/>
              </w:rPr>
              <w:t xml:space="preserve"> </w:t>
            </w:r>
          </w:p>
        </w:tc>
        <w:tc>
          <w:tcPr>
            <w:tcW w:w="0" w:type="auto"/>
            <w:vAlign w:val="center"/>
            <w:hideMark/>
          </w:tcPr>
          <w:p w:rsidR="0050453D" w:rsidRDefault="0050453D">
            <w:pPr>
              <w:jc w:val="center"/>
              <w:rPr>
                <w:b/>
                <w:bCs/>
                <w:sz w:val="24"/>
                <w:szCs w:val="24"/>
              </w:rPr>
            </w:pPr>
            <w:r>
              <w:rPr>
                <w:b/>
                <w:bCs/>
              </w:rPr>
              <w:t>Freiwillige</w:t>
            </w:r>
            <w:r>
              <w:rPr>
                <w:b/>
                <w:bCs/>
              </w:rPr>
              <w:br/>
            </w:r>
            <w:proofErr w:type="spellStart"/>
            <w:r>
              <w:rPr>
                <w:b/>
                <w:bCs/>
              </w:rPr>
              <w:t>Feuerwehr</w:t>
            </w:r>
            <w:r>
              <w:rPr>
                <w:b/>
                <w:bCs/>
              </w:rPr>
              <w:softHyphen/>
              <w:t>mitglieder</w:t>
            </w:r>
            <w:proofErr w:type="spellEnd"/>
            <w:r>
              <w:rPr>
                <w:b/>
                <w:bCs/>
              </w:rPr>
              <w:t xml:space="preserve"> </w:t>
            </w:r>
          </w:p>
        </w:tc>
        <w:tc>
          <w:tcPr>
            <w:tcW w:w="0" w:type="auto"/>
            <w:vAlign w:val="center"/>
            <w:hideMark/>
          </w:tcPr>
          <w:p w:rsidR="0050453D" w:rsidRDefault="0050453D">
            <w:pPr>
              <w:jc w:val="center"/>
              <w:rPr>
                <w:b/>
                <w:bCs/>
                <w:sz w:val="24"/>
                <w:szCs w:val="24"/>
              </w:rPr>
            </w:pPr>
            <w:proofErr w:type="spellStart"/>
            <w:r>
              <w:rPr>
                <w:b/>
                <w:bCs/>
              </w:rPr>
              <w:t>Berufs</w:t>
            </w:r>
            <w:r>
              <w:rPr>
                <w:b/>
                <w:bCs/>
              </w:rPr>
              <w:softHyphen/>
              <w:t>feuerwehr</w:t>
            </w:r>
            <w:r>
              <w:rPr>
                <w:b/>
                <w:bCs/>
              </w:rPr>
              <w:softHyphen/>
              <w:t>mitglieder</w:t>
            </w:r>
            <w:proofErr w:type="spellEnd"/>
            <w:r>
              <w:rPr>
                <w:b/>
                <w:bCs/>
              </w:rPr>
              <w:t xml:space="preserve"> </w:t>
            </w:r>
          </w:p>
        </w:tc>
        <w:tc>
          <w:tcPr>
            <w:tcW w:w="0" w:type="auto"/>
            <w:vAlign w:val="center"/>
            <w:hideMark/>
          </w:tcPr>
          <w:p w:rsidR="0050453D" w:rsidRDefault="0050453D">
            <w:pPr>
              <w:jc w:val="center"/>
              <w:rPr>
                <w:b/>
                <w:bCs/>
                <w:sz w:val="24"/>
                <w:szCs w:val="24"/>
              </w:rPr>
            </w:pPr>
            <w:proofErr w:type="spellStart"/>
            <w:r>
              <w:rPr>
                <w:b/>
                <w:bCs/>
              </w:rPr>
              <w:t>Teilzeit</w:t>
            </w:r>
            <w:r>
              <w:rPr>
                <w:b/>
                <w:bCs/>
              </w:rPr>
              <w:softHyphen/>
              <w:t>feuerwehr</w:t>
            </w:r>
            <w:r>
              <w:rPr>
                <w:b/>
                <w:bCs/>
              </w:rPr>
              <w:softHyphen/>
              <w:t>mitglieder</w:t>
            </w:r>
            <w:proofErr w:type="spellEnd"/>
            <w:r>
              <w:rPr>
                <w:b/>
                <w:bCs/>
              </w:rPr>
              <w:t xml:space="preserve"> </w:t>
            </w:r>
          </w:p>
        </w:tc>
      </w:tr>
      <w:tr w:rsidR="00D0337E" w:rsidTr="00E21000">
        <w:trPr>
          <w:tblCellSpacing w:w="15" w:type="dxa"/>
        </w:trPr>
        <w:tc>
          <w:tcPr>
            <w:tcW w:w="0" w:type="auto"/>
            <w:vAlign w:val="center"/>
            <w:hideMark/>
          </w:tcPr>
          <w:p w:rsidR="00D0337E" w:rsidRDefault="00D0337E" w:rsidP="00E21000">
            <w:pPr>
              <w:rPr>
                <w:sz w:val="24"/>
                <w:szCs w:val="24"/>
              </w:rPr>
            </w:pPr>
            <w:r>
              <w:rPr>
                <w:noProof/>
                <w:color w:val="0000FF"/>
                <w:lang w:eastAsia="de-DE"/>
              </w:rPr>
              <w:drawing>
                <wp:inline distT="0" distB="0" distL="0" distR="0" wp14:anchorId="46D089FE" wp14:editId="494AADFD">
                  <wp:extent cx="190500" cy="114300"/>
                  <wp:effectExtent l="0" t="0" r="0" b="0"/>
                  <wp:docPr id="9" name="Grafik 9" descr="Deutschland">
                    <a:hlinkClick xmlns:a="http://schemas.openxmlformats.org/drawingml/2006/main" r:id="rId5" tooltip="&quot;Deutsch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utschland">
                            <a:hlinkClick r:id="rId5" tooltip="&quot;Deutschland&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t> </w:t>
            </w:r>
            <w:hyperlink r:id="rId7" w:tooltip="Deutschland" w:history="1">
              <w:r>
                <w:rPr>
                  <w:rStyle w:val="Hyperlink"/>
                </w:rPr>
                <w:t>Deutschland</w:t>
              </w:r>
            </w:hyperlink>
          </w:p>
        </w:tc>
        <w:tc>
          <w:tcPr>
            <w:tcW w:w="0" w:type="auto"/>
            <w:vAlign w:val="center"/>
            <w:hideMark/>
          </w:tcPr>
          <w:p w:rsidR="00D0337E" w:rsidRDefault="00D0337E" w:rsidP="00E21000">
            <w:pPr>
              <w:jc w:val="right"/>
              <w:rPr>
                <w:sz w:val="24"/>
                <w:szCs w:val="24"/>
              </w:rPr>
            </w:pPr>
            <w:r>
              <w:t>82.503.000</w:t>
            </w:r>
          </w:p>
        </w:tc>
        <w:tc>
          <w:tcPr>
            <w:tcW w:w="0" w:type="auto"/>
            <w:vAlign w:val="center"/>
            <w:hideMark/>
          </w:tcPr>
          <w:p w:rsidR="00D0337E" w:rsidRDefault="00D0337E" w:rsidP="00E21000">
            <w:pPr>
              <w:jc w:val="right"/>
              <w:rPr>
                <w:sz w:val="24"/>
                <w:szCs w:val="24"/>
              </w:rPr>
            </w:pPr>
            <w:r>
              <w:t xml:space="preserve">1.082.858 </w:t>
            </w:r>
          </w:p>
        </w:tc>
        <w:tc>
          <w:tcPr>
            <w:tcW w:w="0" w:type="auto"/>
            <w:vAlign w:val="center"/>
            <w:hideMark/>
          </w:tcPr>
          <w:p w:rsidR="00D0337E" w:rsidRDefault="00D0337E" w:rsidP="00E21000">
            <w:pPr>
              <w:jc w:val="right"/>
              <w:rPr>
                <w:sz w:val="24"/>
                <w:szCs w:val="24"/>
              </w:rPr>
            </w:pPr>
            <w:r>
              <w:t>1,31 %</w:t>
            </w:r>
          </w:p>
        </w:tc>
        <w:tc>
          <w:tcPr>
            <w:tcW w:w="0" w:type="auto"/>
            <w:vAlign w:val="center"/>
            <w:hideMark/>
          </w:tcPr>
          <w:p w:rsidR="00D0337E" w:rsidRDefault="00D0337E" w:rsidP="00E21000">
            <w:pPr>
              <w:jc w:val="right"/>
              <w:rPr>
                <w:sz w:val="24"/>
                <w:szCs w:val="24"/>
              </w:rPr>
            </w:pPr>
            <w:r>
              <w:t>1.055.255</w:t>
            </w:r>
          </w:p>
        </w:tc>
        <w:tc>
          <w:tcPr>
            <w:tcW w:w="0" w:type="auto"/>
            <w:vAlign w:val="center"/>
            <w:hideMark/>
          </w:tcPr>
          <w:p w:rsidR="00D0337E" w:rsidRDefault="00D0337E" w:rsidP="00E21000">
            <w:pPr>
              <w:jc w:val="right"/>
              <w:rPr>
                <w:sz w:val="24"/>
                <w:szCs w:val="24"/>
              </w:rPr>
            </w:pPr>
            <w:r>
              <w:t>27.603</w:t>
            </w:r>
          </w:p>
        </w:tc>
        <w:tc>
          <w:tcPr>
            <w:tcW w:w="0" w:type="auto"/>
            <w:vAlign w:val="center"/>
            <w:hideMark/>
          </w:tcPr>
          <w:p w:rsidR="00D0337E" w:rsidRDefault="00D0337E" w:rsidP="00E21000">
            <w:pPr>
              <w:jc w:val="right"/>
              <w:rPr>
                <w:sz w:val="24"/>
                <w:szCs w:val="24"/>
              </w:rPr>
            </w:pPr>
            <w:r>
              <w:t xml:space="preserve">0 </w:t>
            </w:r>
          </w:p>
        </w:tc>
      </w:tr>
      <w:tr w:rsidR="00D0337E" w:rsidTr="0050453D">
        <w:trPr>
          <w:tblCellSpacing w:w="15" w:type="dxa"/>
        </w:trPr>
        <w:tc>
          <w:tcPr>
            <w:tcW w:w="0" w:type="auto"/>
            <w:vAlign w:val="center"/>
          </w:tcPr>
          <w:p w:rsidR="00D0337E" w:rsidRPr="00D0337E" w:rsidRDefault="00D0337E">
            <w:pPr>
              <w:rPr>
                <w:noProof/>
                <w:color w:val="0000FF"/>
                <w:u w:val="single"/>
                <w:lang w:eastAsia="de-DE"/>
              </w:rPr>
            </w:pPr>
            <w:r>
              <w:rPr>
                <w:noProof/>
                <w:color w:val="0000FF"/>
                <w:lang w:eastAsia="de-DE"/>
              </w:rPr>
              <w:t xml:space="preserve">        </w:t>
            </w:r>
            <w:r w:rsidRPr="00D0337E">
              <w:rPr>
                <w:noProof/>
                <w:color w:val="0000FF"/>
                <w:u w:val="single"/>
                <w:lang w:eastAsia="de-DE"/>
              </w:rPr>
              <w:t>Bayern</w:t>
            </w:r>
          </w:p>
        </w:tc>
        <w:tc>
          <w:tcPr>
            <w:tcW w:w="0" w:type="auto"/>
            <w:vAlign w:val="center"/>
          </w:tcPr>
          <w:p w:rsidR="00D0337E" w:rsidRDefault="00D0337E">
            <w:pPr>
              <w:jc w:val="right"/>
            </w:pPr>
            <w:r>
              <w:t>12.976.491</w:t>
            </w:r>
          </w:p>
        </w:tc>
        <w:tc>
          <w:tcPr>
            <w:tcW w:w="0" w:type="auto"/>
            <w:vAlign w:val="center"/>
          </w:tcPr>
          <w:p w:rsidR="00D0337E" w:rsidRDefault="00D0337E">
            <w:pPr>
              <w:jc w:val="right"/>
            </w:pPr>
            <w:r>
              <w:t>315.068</w:t>
            </w:r>
          </w:p>
        </w:tc>
        <w:tc>
          <w:tcPr>
            <w:tcW w:w="0" w:type="auto"/>
            <w:vAlign w:val="center"/>
          </w:tcPr>
          <w:p w:rsidR="00D0337E" w:rsidRDefault="00D0337E" w:rsidP="00D0337E">
            <w:pPr>
              <w:jc w:val="right"/>
            </w:pPr>
            <w:r>
              <w:t>2,52 %</w:t>
            </w:r>
          </w:p>
        </w:tc>
        <w:tc>
          <w:tcPr>
            <w:tcW w:w="0" w:type="auto"/>
            <w:vAlign w:val="center"/>
          </w:tcPr>
          <w:p w:rsidR="00D0337E" w:rsidRDefault="00D0337E">
            <w:pPr>
              <w:jc w:val="right"/>
            </w:pPr>
            <w:r>
              <w:t>315.068</w:t>
            </w:r>
          </w:p>
        </w:tc>
        <w:tc>
          <w:tcPr>
            <w:tcW w:w="0" w:type="auto"/>
            <w:vAlign w:val="center"/>
          </w:tcPr>
          <w:p w:rsidR="00D0337E" w:rsidRDefault="00D0337E">
            <w:pPr>
              <w:jc w:val="right"/>
            </w:pPr>
            <w:r>
              <w:t>2.696</w:t>
            </w:r>
          </w:p>
        </w:tc>
        <w:tc>
          <w:tcPr>
            <w:tcW w:w="0" w:type="auto"/>
            <w:vAlign w:val="center"/>
          </w:tcPr>
          <w:p w:rsidR="00D0337E" w:rsidRDefault="00D0337E">
            <w:pPr>
              <w:jc w:val="right"/>
            </w:pPr>
            <w:r>
              <w:t>0</w:t>
            </w:r>
          </w:p>
        </w:tc>
      </w:tr>
      <w:tr w:rsidR="0050453D" w:rsidTr="0050453D">
        <w:trPr>
          <w:tblCellSpacing w:w="15" w:type="dxa"/>
        </w:trPr>
        <w:tc>
          <w:tcPr>
            <w:tcW w:w="0" w:type="auto"/>
            <w:vAlign w:val="center"/>
            <w:hideMark/>
          </w:tcPr>
          <w:p w:rsidR="0050453D" w:rsidRDefault="0050453D">
            <w:pPr>
              <w:rPr>
                <w:sz w:val="24"/>
                <w:szCs w:val="24"/>
              </w:rPr>
            </w:pPr>
            <w:r>
              <w:rPr>
                <w:noProof/>
                <w:color w:val="0000FF"/>
                <w:lang w:eastAsia="de-DE"/>
              </w:rPr>
              <w:drawing>
                <wp:inline distT="0" distB="0" distL="0" distR="0" wp14:anchorId="504B0275" wp14:editId="68AA2854">
                  <wp:extent cx="190500" cy="142875"/>
                  <wp:effectExtent l="0" t="0" r="0" b="9525"/>
                  <wp:docPr id="10" name="Grafik 10" descr="Dänemark">
                    <a:hlinkClick xmlns:a="http://schemas.openxmlformats.org/drawingml/2006/main" r:id="rId8" tooltip="&quot;Dänemar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änemark">
                            <a:hlinkClick r:id="rId8" tooltip="&quot;Dänemar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t> </w:t>
            </w:r>
            <w:hyperlink r:id="rId10" w:tooltip="Dänemark" w:history="1">
              <w:r>
                <w:rPr>
                  <w:rStyle w:val="Hyperlink"/>
                </w:rPr>
                <w:t>Dänemark</w:t>
              </w:r>
            </w:hyperlink>
          </w:p>
        </w:tc>
        <w:tc>
          <w:tcPr>
            <w:tcW w:w="0" w:type="auto"/>
            <w:vAlign w:val="center"/>
            <w:hideMark/>
          </w:tcPr>
          <w:p w:rsidR="0050453D" w:rsidRDefault="0050453D">
            <w:pPr>
              <w:jc w:val="right"/>
              <w:rPr>
                <w:sz w:val="24"/>
                <w:szCs w:val="24"/>
              </w:rPr>
            </w:pPr>
            <w:r>
              <w:t>5.400.000</w:t>
            </w:r>
          </w:p>
        </w:tc>
        <w:tc>
          <w:tcPr>
            <w:tcW w:w="0" w:type="auto"/>
            <w:vAlign w:val="center"/>
            <w:hideMark/>
          </w:tcPr>
          <w:p w:rsidR="0050453D" w:rsidRDefault="0050453D">
            <w:pPr>
              <w:jc w:val="right"/>
              <w:rPr>
                <w:sz w:val="24"/>
                <w:szCs w:val="24"/>
              </w:rPr>
            </w:pPr>
            <w:r>
              <w:t xml:space="preserve">7.100 </w:t>
            </w:r>
          </w:p>
        </w:tc>
        <w:tc>
          <w:tcPr>
            <w:tcW w:w="0" w:type="auto"/>
            <w:vAlign w:val="center"/>
            <w:hideMark/>
          </w:tcPr>
          <w:p w:rsidR="0050453D" w:rsidRDefault="0050453D">
            <w:pPr>
              <w:jc w:val="right"/>
              <w:rPr>
                <w:sz w:val="24"/>
                <w:szCs w:val="24"/>
              </w:rPr>
            </w:pPr>
            <w:r>
              <w:t>0,13 %</w:t>
            </w:r>
          </w:p>
        </w:tc>
        <w:tc>
          <w:tcPr>
            <w:tcW w:w="0" w:type="auto"/>
            <w:vAlign w:val="center"/>
            <w:hideMark/>
          </w:tcPr>
          <w:p w:rsidR="0050453D" w:rsidRDefault="0050453D">
            <w:pPr>
              <w:jc w:val="right"/>
              <w:rPr>
                <w:sz w:val="24"/>
                <w:szCs w:val="24"/>
              </w:rPr>
            </w:pPr>
            <w:r>
              <w:t>2.000</w:t>
            </w:r>
          </w:p>
        </w:tc>
        <w:tc>
          <w:tcPr>
            <w:tcW w:w="0" w:type="auto"/>
            <w:vAlign w:val="center"/>
            <w:hideMark/>
          </w:tcPr>
          <w:p w:rsidR="0050453D" w:rsidRDefault="0050453D">
            <w:pPr>
              <w:jc w:val="right"/>
              <w:rPr>
                <w:sz w:val="24"/>
                <w:szCs w:val="24"/>
              </w:rPr>
            </w:pPr>
            <w:r>
              <w:t>1.600</w:t>
            </w:r>
          </w:p>
        </w:tc>
        <w:tc>
          <w:tcPr>
            <w:tcW w:w="0" w:type="auto"/>
            <w:vAlign w:val="center"/>
            <w:hideMark/>
          </w:tcPr>
          <w:p w:rsidR="0050453D" w:rsidRDefault="0050453D">
            <w:pPr>
              <w:jc w:val="right"/>
              <w:rPr>
                <w:sz w:val="24"/>
                <w:szCs w:val="24"/>
              </w:rPr>
            </w:pPr>
            <w:r>
              <w:t xml:space="preserve">3.500 </w:t>
            </w:r>
          </w:p>
        </w:tc>
      </w:tr>
      <w:tr w:rsidR="0050453D" w:rsidTr="0050453D">
        <w:trPr>
          <w:tblCellSpacing w:w="15" w:type="dxa"/>
        </w:trPr>
        <w:tc>
          <w:tcPr>
            <w:tcW w:w="0" w:type="auto"/>
            <w:vAlign w:val="center"/>
            <w:hideMark/>
          </w:tcPr>
          <w:p w:rsidR="0050453D" w:rsidRDefault="0050453D">
            <w:pPr>
              <w:rPr>
                <w:sz w:val="24"/>
                <w:szCs w:val="24"/>
              </w:rPr>
            </w:pPr>
            <w:r>
              <w:rPr>
                <w:noProof/>
                <w:color w:val="0000FF"/>
                <w:lang w:eastAsia="de-DE"/>
              </w:rPr>
              <w:drawing>
                <wp:inline distT="0" distB="0" distL="0" distR="0" wp14:anchorId="452A37B6" wp14:editId="7FA813E9">
                  <wp:extent cx="171450" cy="104775"/>
                  <wp:effectExtent l="0" t="0" r="0" b="9525"/>
                  <wp:docPr id="8" name="Grafik 8" descr="Finnland">
                    <a:hlinkClick xmlns:a="http://schemas.openxmlformats.org/drawingml/2006/main" r:id="rId11" tooltip="&quot;Finn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nland">
                            <a:hlinkClick r:id="rId11" tooltip="&quot;Finnland&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w:t>
            </w:r>
            <w:hyperlink r:id="rId13" w:tooltip="Finnland" w:history="1">
              <w:r>
                <w:rPr>
                  <w:rStyle w:val="Hyperlink"/>
                </w:rPr>
                <w:t>Finnland</w:t>
              </w:r>
            </w:hyperlink>
          </w:p>
        </w:tc>
        <w:tc>
          <w:tcPr>
            <w:tcW w:w="0" w:type="auto"/>
            <w:vAlign w:val="center"/>
            <w:hideMark/>
          </w:tcPr>
          <w:p w:rsidR="0050453D" w:rsidRDefault="0050453D">
            <w:pPr>
              <w:jc w:val="right"/>
              <w:rPr>
                <w:sz w:val="24"/>
                <w:szCs w:val="24"/>
              </w:rPr>
            </w:pPr>
            <w:r>
              <w:t>5.237.000</w:t>
            </w:r>
          </w:p>
        </w:tc>
        <w:tc>
          <w:tcPr>
            <w:tcW w:w="0" w:type="auto"/>
            <w:vAlign w:val="center"/>
            <w:hideMark/>
          </w:tcPr>
          <w:p w:rsidR="0050453D" w:rsidRDefault="0050453D">
            <w:pPr>
              <w:jc w:val="right"/>
              <w:rPr>
                <w:sz w:val="24"/>
                <w:szCs w:val="24"/>
              </w:rPr>
            </w:pPr>
            <w:r>
              <w:t xml:space="preserve">13.400 </w:t>
            </w:r>
          </w:p>
        </w:tc>
        <w:tc>
          <w:tcPr>
            <w:tcW w:w="0" w:type="auto"/>
            <w:vAlign w:val="center"/>
            <w:hideMark/>
          </w:tcPr>
          <w:p w:rsidR="0050453D" w:rsidRDefault="0050453D">
            <w:pPr>
              <w:jc w:val="right"/>
              <w:rPr>
                <w:sz w:val="24"/>
                <w:szCs w:val="24"/>
              </w:rPr>
            </w:pPr>
            <w:r>
              <w:t>0,26 %</w:t>
            </w:r>
          </w:p>
        </w:tc>
        <w:tc>
          <w:tcPr>
            <w:tcW w:w="0" w:type="auto"/>
            <w:vAlign w:val="center"/>
            <w:hideMark/>
          </w:tcPr>
          <w:p w:rsidR="0050453D" w:rsidRDefault="0050453D">
            <w:pPr>
              <w:jc w:val="right"/>
              <w:rPr>
                <w:sz w:val="24"/>
                <w:szCs w:val="24"/>
              </w:rPr>
            </w:pPr>
            <w:r>
              <w:t>4.000</w:t>
            </w:r>
          </w:p>
        </w:tc>
        <w:tc>
          <w:tcPr>
            <w:tcW w:w="0" w:type="auto"/>
            <w:vAlign w:val="center"/>
            <w:hideMark/>
          </w:tcPr>
          <w:p w:rsidR="0050453D" w:rsidRDefault="0050453D">
            <w:pPr>
              <w:jc w:val="right"/>
              <w:rPr>
                <w:sz w:val="24"/>
                <w:szCs w:val="24"/>
              </w:rPr>
            </w:pPr>
            <w:r>
              <w:t>4.500</w:t>
            </w:r>
          </w:p>
        </w:tc>
        <w:tc>
          <w:tcPr>
            <w:tcW w:w="0" w:type="auto"/>
            <w:vAlign w:val="center"/>
            <w:hideMark/>
          </w:tcPr>
          <w:p w:rsidR="0050453D" w:rsidRDefault="0050453D">
            <w:pPr>
              <w:jc w:val="right"/>
              <w:rPr>
                <w:sz w:val="24"/>
                <w:szCs w:val="24"/>
              </w:rPr>
            </w:pPr>
            <w:r>
              <w:t xml:space="preserve">4.900 </w:t>
            </w:r>
          </w:p>
        </w:tc>
      </w:tr>
      <w:tr w:rsidR="0050453D" w:rsidTr="0050453D">
        <w:trPr>
          <w:tblCellSpacing w:w="15" w:type="dxa"/>
        </w:trPr>
        <w:tc>
          <w:tcPr>
            <w:tcW w:w="0" w:type="auto"/>
            <w:vAlign w:val="center"/>
            <w:hideMark/>
          </w:tcPr>
          <w:p w:rsidR="0050453D" w:rsidRDefault="0050453D">
            <w:pPr>
              <w:rPr>
                <w:sz w:val="24"/>
                <w:szCs w:val="24"/>
              </w:rPr>
            </w:pPr>
            <w:r>
              <w:rPr>
                <w:noProof/>
                <w:color w:val="0000FF"/>
                <w:lang w:eastAsia="de-DE"/>
              </w:rPr>
              <w:drawing>
                <wp:inline distT="0" distB="0" distL="0" distR="0" wp14:anchorId="10DBA1C6" wp14:editId="54D9E6BF">
                  <wp:extent cx="171450" cy="114300"/>
                  <wp:effectExtent l="0" t="0" r="0" b="0"/>
                  <wp:docPr id="7" name="Grafik 7" descr="Frankreich">
                    <a:hlinkClick xmlns:a="http://schemas.openxmlformats.org/drawingml/2006/main" r:id="rId14" tooltip="&quot;Frankrei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nkreich">
                            <a:hlinkClick r:id="rId14" tooltip="&quot;Frankreich&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t> </w:t>
            </w:r>
            <w:hyperlink r:id="rId16" w:tooltip="Frankreich" w:history="1">
              <w:r>
                <w:rPr>
                  <w:rStyle w:val="Hyperlink"/>
                </w:rPr>
                <w:t>Frankreich</w:t>
              </w:r>
            </w:hyperlink>
          </w:p>
        </w:tc>
        <w:tc>
          <w:tcPr>
            <w:tcW w:w="0" w:type="auto"/>
            <w:vAlign w:val="center"/>
            <w:hideMark/>
          </w:tcPr>
          <w:p w:rsidR="0050453D" w:rsidRDefault="0050453D">
            <w:pPr>
              <w:jc w:val="right"/>
              <w:rPr>
                <w:sz w:val="24"/>
                <w:szCs w:val="24"/>
              </w:rPr>
            </w:pPr>
            <w:r>
              <w:t>58.518.395</w:t>
            </w:r>
          </w:p>
        </w:tc>
        <w:tc>
          <w:tcPr>
            <w:tcW w:w="0" w:type="auto"/>
            <w:vAlign w:val="center"/>
            <w:hideMark/>
          </w:tcPr>
          <w:p w:rsidR="0050453D" w:rsidRDefault="0050453D">
            <w:pPr>
              <w:jc w:val="right"/>
              <w:rPr>
                <w:sz w:val="24"/>
                <w:szCs w:val="24"/>
              </w:rPr>
            </w:pPr>
            <w:r>
              <w:t xml:space="preserve">234.017 </w:t>
            </w:r>
          </w:p>
        </w:tc>
        <w:tc>
          <w:tcPr>
            <w:tcW w:w="0" w:type="auto"/>
            <w:vAlign w:val="center"/>
            <w:hideMark/>
          </w:tcPr>
          <w:p w:rsidR="0050453D" w:rsidRDefault="0050453D">
            <w:pPr>
              <w:jc w:val="right"/>
              <w:rPr>
                <w:sz w:val="24"/>
                <w:szCs w:val="24"/>
              </w:rPr>
            </w:pPr>
            <w:r>
              <w:t>0,40 %</w:t>
            </w:r>
          </w:p>
        </w:tc>
        <w:tc>
          <w:tcPr>
            <w:tcW w:w="0" w:type="auto"/>
            <w:vAlign w:val="center"/>
            <w:hideMark/>
          </w:tcPr>
          <w:p w:rsidR="0050453D" w:rsidRDefault="0050453D">
            <w:pPr>
              <w:jc w:val="right"/>
              <w:rPr>
                <w:sz w:val="24"/>
                <w:szCs w:val="24"/>
              </w:rPr>
            </w:pPr>
            <w:r>
              <w:t>197.556</w:t>
            </w:r>
          </w:p>
        </w:tc>
        <w:tc>
          <w:tcPr>
            <w:tcW w:w="0" w:type="auto"/>
            <w:vAlign w:val="center"/>
            <w:hideMark/>
          </w:tcPr>
          <w:p w:rsidR="0050453D" w:rsidRDefault="0050453D">
            <w:pPr>
              <w:jc w:val="right"/>
              <w:rPr>
                <w:sz w:val="24"/>
                <w:szCs w:val="24"/>
              </w:rPr>
            </w:pPr>
            <w:r>
              <w:t>36.461</w:t>
            </w:r>
          </w:p>
        </w:tc>
        <w:tc>
          <w:tcPr>
            <w:tcW w:w="0" w:type="auto"/>
            <w:vAlign w:val="center"/>
            <w:hideMark/>
          </w:tcPr>
          <w:p w:rsidR="0050453D" w:rsidRDefault="0050453D">
            <w:pPr>
              <w:jc w:val="right"/>
              <w:rPr>
                <w:sz w:val="24"/>
                <w:szCs w:val="24"/>
              </w:rPr>
            </w:pPr>
            <w:r>
              <w:t xml:space="preserve">0 </w:t>
            </w:r>
          </w:p>
        </w:tc>
      </w:tr>
      <w:tr w:rsidR="0050453D" w:rsidTr="0050453D">
        <w:trPr>
          <w:tblCellSpacing w:w="15" w:type="dxa"/>
        </w:trPr>
        <w:tc>
          <w:tcPr>
            <w:tcW w:w="0" w:type="auto"/>
            <w:vAlign w:val="center"/>
            <w:hideMark/>
          </w:tcPr>
          <w:p w:rsidR="0050453D" w:rsidRDefault="0050453D">
            <w:pPr>
              <w:rPr>
                <w:sz w:val="24"/>
                <w:szCs w:val="24"/>
              </w:rPr>
            </w:pPr>
            <w:r>
              <w:rPr>
                <w:noProof/>
                <w:color w:val="0000FF"/>
                <w:lang w:eastAsia="de-DE"/>
              </w:rPr>
              <w:drawing>
                <wp:inline distT="0" distB="0" distL="0" distR="0" wp14:anchorId="3A50ED10" wp14:editId="4DA36457">
                  <wp:extent cx="190500" cy="123825"/>
                  <wp:effectExtent l="0" t="0" r="0" b="9525"/>
                  <wp:docPr id="6" name="Grafik 6" descr="Griechenland">
                    <a:hlinkClick xmlns:a="http://schemas.openxmlformats.org/drawingml/2006/main" r:id="rId17" tooltip="&quot;Griechenl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iechenland">
                            <a:hlinkClick r:id="rId17" tooltip="&quot;Griechenland&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t> </w:t>
            </w:r>
            <w:hyperlink r:id="rId19" w:tooltip="Griechenland" w:history="1">
              <w:r>
                <w:rPr>
                  <w:rStyle w:val="Hyperlink"/>
                </w:rPr>
                <w:t>Griechenland</w:t>
              </w:r>
            </w:hyperlink>
          </w:p>
        </w:tc>
        <w:tc>
          <w:tcPr>
            <w:tcW w:w="0" w:type="auto"/>
            <w:vAlign w:val="center"/>
            <w:hideMark/>
          </w:tcPr>
          <w:p w:rsidR="0050453D" w:rsidRDefault="0050453D">
            <w:pPr>
              <w:jc w:val="right"/>
              <w:rPr>
                <w:sz w:val="24"/>
                <w:szCs w:val="24"/>
              </w:rPr>
            </w:pPr>
            <w:r>
              <w:t>10.939.605</w:t>
            </w:r>
          </w:p>
        </w:tc>
        <w:tc>
          <w:tcPr>
            <w:tcW w:w="0" w:type="auto"/>
            <w:vAlign w:val="center"/>
            <w:hideMark/>
          </w:tcPr>
          <w:p w:rsidR="0050453D" w:rsidRDefault="0050453D">
            <w:pPr>
              <w:jc w:val="right"/>
              <w:rPr>
                <w:sz w:val="24"/>
                <w:szCs w:val="24"/>
              </w:rPr>
            </w:pPr>
            <w:r>
              <w:t xml:space="preserve">18.733 </w:t>
            </w:r>
          </w:p>
        </w:tc>
        <w:tc>
          <w:tcPr>
            <w:tcW w:w="0" w:type="auto"/>
            <w:vAlign w:val="center"/>
            <w:hideMark/>
          </w:tcPr>
          <w:p w:rsidR="0050453D" w:rsidRDefault="0050453D">
            <w:pPr>
              <w:jc w:val="right"/>
              <w:rPr>
                <w:sz w:val="24"/>
                <w:szCs w:val="24"/>
              </w:rPr>
            </w:pPr>
            <w:r>
              <w:t>0,17 %</w:t>
            </w:r>
          </w:p>
        </w:tc>
        <w:tc>
          <w:tcPr>
            <w:tcW w:w="0" w:type="auto"/>
            <w:vAlign w:val="center"/>
            <w:hideMark/>
          </w:tcPr>
          <w:p w:rsidR="0050453D" w:rsidRDefault="0050453D">
            <w:pPr>
              <w:jc w:val="right"/>
              <w:rPr>
                <w:sz w:val="24"/>
                <w:szCs w:val="24"/>
              </w:rPr>
            </w:pPr>
            <w:r>
              <w:t>3.821</w:t>
            </w:r>
          </w:p>
        </w:tc>
        <w:tc>
          <w:tcPr>
            <w:tcW w:w="0" w:type="auto"/>
            <w:vAlign w:val="center"/>
            <w:hideMark/>
          </w:tcPr>
          <w:p w:rsidR="0050453D" w:rsidRDefault="0050453D">
            <w:pPr>
              <w:jc w:val="right"/>
              <w:rPr>
                <w:sz w:val="24"/>
                <w:szCs w:val="24"/>
              </w:rPr>
            </w:pPr>
            <w:r>
              <w:t>9.412</w:t>
            </w:r>
          </w:p>
        </w:tc>
        <w:tc>
          <w:tcPr>
            <w:tcW w:w="0" w:type="auto"/>
            <w:vAlign w:val="center"/>
            <w:hideMark/>
          </w:tcPr>
          <w:p w:rsidR="0050453D" w:rsidRDefault="0050453D">
            <w:pPr>
              <w:jc w:val="right"/>
              <w:rPr>
                <w:sz w:val="24"/>
                <w:szCs w:val="24"/>
              </w:rPr>
            </w:pPr>
            <w:r>
              <w:t xml:space="preserve">5.500 </w:t>
            </w:r>
          </w:p>
        </w:tc>
      </w:tr>
      <w:tr w:rsidR="0050453D" w:rsidTr="0050453D">
        <w:trPr>
          <w:tblCellSpacing w:w="15" w:type="dxa"/>
        </w:trPr>
        <w:tc>
          <w:tcPr>
            <w:tcW w:w="0" w:type="auto"/>
            <w:vAlign w:val="center"/>
            <w:hideMark/>
          </w:tcPr>
          <w:p w:rsidR="0050453D" w:rsidRDefault="0050453D">
            <w:pPr>
              <w:rPr>
                <w:sz w:val="24"/>
                <w:szCs w:val="24"/>
              </w:rPr>
            </w:pPr>
            <w:r>
              <w:rPr>
                <w:noProof/>
                <w:color w:val="0000FF"/>
                <w:lang w:eastAsia="de-DE"/>
              </w:rPr>
              <w:drawing>
                <wp:inline distT="0" distB="0" distL="0" distR="0" wp14:anchorId="5727CA46" wp14:editId="2C87B992">
                  <wp:extent cx="171450" cy="114300"/>
                  <wp:effectExtent l="0" t="0" r="0" b="0"/>
                  <wp:docPr id="5" name="Grafik 5" descr="Italien">
                    <a:hlinkClick xmlns:a="http://schemas.openxmlformats.org/drawingml/2006/main" r:id="rId20" tooltip="&quot;Itali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alien">
                            <a:hlinkClick r:id="rId20" tooltip="&quot;Italien&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t> </w:t>
            </w:r>
            <w:hyperlink r:id="rId22" w:tooltip="Italien" w:history="1">
              <w:r>
                <w:rPr>
                  <w:rStyle w:val="Hyperlink"/>
                </w:rPr>
                <w:t>Italien</w:t>
              </w:r>
            </w:hyperlink>
          </w:p>
        </w:tc>
        <w:tc>
          <w:tcPr>
            <w:tcW w:w="0" w:type="auto"/>
            <w:vAlign w:val="center"/>
            <w:hideMark/>
          </w:tcPr>
          <w:p w:rsidR="0050453D" w:rsidRDefault="0050453D">
            <w:pPr>
              <w:jc w:val="right"/>
              <w:rPr>
                <w:sz w:val="24"/>
                <w:szCs w:val="24"/>
              </w:rPr>
            </w:pPr>
            <w:r>
              <w:t>57.000.000</w:t>
            </w:r>
          </w:p>
        </w:tc>
        <w:tc>
          <w:tcPr>
            <w:tcW w:w="0" w:type="auto"/>
            <w:vAlign w:val="center"/>
            <w:hideMark/>
          </w:tcPr>
          <w:p w:rsidR="0050453D" w:rsidRDefault="0050453D">
            <w:pPr>
              <w:jc w:val="right"/>
              <w:rPr>
                <w:sz w:val="24"/>
                <w:szCs w:val="24"/>
              </w:rPr>
            </w:pPr>
            <w:r>
              <w:t xml:space="preserve">39.652 </w:t>
            </w:r>
          </w:p>
        </w:tc>
        <w:tc>
          <w:tcPr>
            <w:tcW w:w="0" w:type="auto"/>
            <w:vAlign w:val="center"/>
            <w:hideMark/>
          </w:tcPr>
          <w:p w:rsidR="0050453D" w:rsidRDefault="0050453D">
            <w:pPr>
              <w:jc w:val="right"/>
              <w:rPr>
                <w:sz w:val="24"/>
                <w:szCs w:val="24"/>
              </w:rPr>
            </w:pPr>
            <w:r>
              <w:t>0,07 %</w:t>
            </w:r>
          </w:p>
        </w:tc>
        <w:tc>
          <w:tcPr>
            <w:tcW w:w="0" w:type="auto"/>
            <w:vAlign w:val="center"/>
            <w:hideMark/>
          </w:tcPr>
          <w:p w:rsidR="0050453D" w:rsidRDefault="0050453D">
            <w:pPr>
              <w:jc w:val="right"/>
              <w:rPr>
                <w:sz w:val="24"/>
                <w:szCs w:val="24"/>
              </w:rPr>
            </w:pPr>
            <w:r>
              <w:t>4.000</w:t>
            </w:r>
          </w:p>
        </w:tc>
        <w:tc>
          <w:tcPr>
            <w:tcW w:w="0" w:type="auto"/>
            <w:vAlign w:val="center"/>
            <w:hideMark/>
          </w:tcPr>
          <w:p w:rsidR="0050453D" w:rsidRDefault="0050453D">
            <w:pPr>
              <w:jc w:val="right"/>
              <w:rPr>
                <w:sz w:val="24"/>
                <w:szCs w:val="24"/>
              </w:rPr>
            </w:pPr>
            <w:r>
              <w:t>30.652</w:t>
            </w:r>
          </w:p>
        </w:tc>
        <w:tc>
          <w:tcPr>
            <w:tcW w:w="0" w:type="auto"/>
            <w:vAlign w:val="center"/>
            <w:hideMark/>
          </w:tcPr>
          <w:p w:rsidR="0050453D" w:rsidRDefault="0050453D">
            <w:pPr>
              <w:jc w:val="right"/>
              <w:rPr>
                <w:sz w:val="24"/>
                <w:szCs w:val="24"/>
              </w:rPr>
            </w:pPr>
            <w:r>
              <w:t xml:space="preserve">5.000 </w:t>
            </w:r>
          </w:p>
        </w:tc>
      </w:tr>
      <w:tr w:rsidR="0050453D" w:rsidTr="0050453D">
        <w:trPr>
          <w:tblCellSpacing w:w="15" w:type="dxa"/>
        </w:trPr>
        <w:tc>
          <w:tcPr>
            <w:tcW w:w="0" w:type="auto"/>
            <w:vAlign w:val="center"/>
            <w:hideMark/>
          </w:tcPr>
          <w:p w:rsidR="0050453D" w:rsidRDefault="0050453D">
            <w:pPr>
              <w:rPr>
                <w:sz w:val="24"/>
                <w:szCs w:val="24"/>
              </w:rPr>
            </w:pPr>
            <w:r>
              <w:rPr>
                <w:noProof/>
                <w:color w:val="0000FF"/>
                <w:lang w:eastAsia="de-DE"/>
              </w:rPr>
              <w:drawing>
                <wp:inline distT="0" distB="0" distL="0" distR="0" wp14:anchorId="56EC05A0" wp14:editId="37A0AF74">
                  <wp:extent cx="171450" cy="114300"/>
                  <wp:effectExtent l="0" t="0" r="0" b="0"/>
                  <wp:docPr id="4" name="Grafik 4" descr="Österreich">
                    <a:hlinkClick xmlns:a="http://schemas.openxmlformats.org/drawingml/2006/main" r:id="rId23" tooltip="&quot;Österrei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Österreich">
                            <a:hlinkClick r:id="rId23" tooltip="&quot;Österreich&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t> </w:t>
            </w:r>
            <w:hyperlink r:id="rId25" w:tooltip="Österreich" w:history="1">
              <w:r>
                <w:rPr>
                  <w:rStyle w:val="Hyperlink"/>
                </w:rPr>
                <w:t>Österreich</w:t>
              </w:r>
            </w:hyperlink>
          </w:p>
        </w:tc>
        <w:tc>
          <w:tcPr>
            <w:tcW w:w="0" w:type="auto"/>
            <w:vAlign w:val="center"/>
            <w:hideMark/>
          </w:tcPr>
          <w:p w:rsidR="0050453D" w:rsidRDefault="0050453D">
            <w:pPr>
              <w:jc w:val="right"/>
              <w:rPr>
                <w:sz w:val="24"/>
                <w:szCs w:val="24"/>
              </w:rPr>
            </w:pPr>
            <w:r>
              <w:t>8.174.700</w:t>
            </w:r>
          </w:p>
        </w:tc>
        <w:tc>
          <w:tcPr>
            <w:tcW w:w="0" w:type="auto"/>
            <w:vAlign w:val="center"/>
            <w:hideMark/>
          </w:tcPr>
          <w:p w:rsidR="0050453D" w:rsidRDefault="0050453D">
            <w:pPr>
              <w:jc w:val="right"/>
              <w:rPr>
                <w:sz w:val="24"/>
                <w:szCs w:val="24"/>
              </w:rPr>
            </w:pPr>
            <w:r>
              <w:t xml:space="preserve">337.170 </w:t>
            </w:r>
          </w:p>
        </w:tc>
        <w:tc>
          <w:tcPr>
            <w:tcW w:w="0" w:type="auto"/>
            <w:vAlign w:val="center"/>
            <w:hideMark/>
          </w:tcPr>
          <w:p w:rsidR="0050453D" w:rsidRDefault="0050453D">
            <w:pPr>
              <w:jc w:val="right"/>
              <w:rPr>
                <w:sz w:val="24"/>
                <w:szCs w:val="24"/>
              </w:rPr>
            </w:pPr>
            <w:r>
              <w:t>4,12 %</w:t>
            </w:r>
          </w:p>
        </w:tc>
        <w:tc>
          <w:tcPr>
            <w:tcW w:w="0" w:type="auto"/>
            <w:vAlign w:val="center"/>
            <w:hideMark/>
          </w:tcPr>
          <w:p w:rsidR="0050453D" w:rsidRDefault="0050453D">
            <w:pPr>
              <w:jc w:val="right"/>
              <w:rPr>
                <w:sz w:val="24"/>
                <w:szCs w:val="24"/>
              </w:rPr>
            </w:pPr>
            <w:r>
              <w:t>334.751</w:t>
            </w:r>
          </w:p>
        </w:tc>
        <w:tc>
          <w:tcPr>
            <w:tcW w:w="0" w:type="auto"/>
            <w:vAlign w:val="center"/>
            <w:hideMark/>
          </w:tcPr>
          <w:p w:rsidR="0050453D" w:rsidRDefault="0050453D">
            <w:pPr>
              <w:jc w:val="right"/>
              <w:rPr>
                <w:sz w:val="24"/>
                <w:szCs w:val="24"/>
              </w:rPr>
            </w:pPr>
            <w:r>
              <w:t>2.419</w:t>
            </w:r>
          </w:p>
        </w:tc>
        <w:tc>
          <w:tcPr>
            <w:tcW w:w="0" w:type="auto"/>
            <w:vAlign w:val="center"/>
            <w:hideMark/>
          </w:tcPr>
          <w:p w:rsidR="0050453D" w:rsidRDefault="0050453D">
            <w:pPr>
              <w:jc w:val="right"/>
              <w:rPr>
                <w:sz w:val="24"/>
                <w:szCs w:val="24"/>
              </w:rPr>
            </w:pPr>
            <w:r>
              <w:t xml:space="preserve">0 </w:t>
            </w:r>
          </w:p>
        </w:tc>
      </w:tr>
      <w:tr w:rsidR="0050453D" w:rsidTr="0050453D">
        <w:trPr>
          <w:tblCellSpacing w:w="15" w:type="dxa"/>
        </w:trPr>
        <w:tc>
          <w:tcPr>
            <w:tcW w:w="0" w:type="auto"/>
            <w:vAlign w:val="center"/>
            <w:hideMark/>
          </w:tcPr>
          <w:p w:rsidR="0050453D" w:rsidRDefault="0050453D">
            <w:pPr>
              <w:rPr>
                <w:sz w:val="24"/>
                <w:szCs w:val="24"/>
              </w:rPr>
            </w:pPr>
            <w:r>
              <w:rPr>
                <w:noProof/>
                <w:color w:val="0000FF"/>
                <w:lang w:eastAsia="de-DE"/>
              </w:rPr>
              <w:drawing>
                <wp:inline distT="0" distB="0" distL="0" distR="0" wp14:anchorId="24925BD7" wp14:editId="1DDA1602">
                  <wp:extent cx="171450" cy="104775"/>
                  <wp:effectExtent l="0" t="0" r="0" b="9525"/>
                  <wp:docPr id="3" name="Grafik 3" descr="Polen">
                    <a:hlinkClick xmlns:a="http://schemas.openxmlformats.org/drawingml/2006/main" r:id="rId26" tooltip="&quot;Pol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len">
                            <a:hlinkClick r:id="rId26" tooltip="&quot;Polen&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t> </w:t>
            </w:r>
            <w:hyperlink r:id="rId28" w:tooltip="Polen" w:history="1">
              <w:r>
                <w:rPr>
                  <w:rStyle w:val="Hyperlink"/>
                </w:rPr>
                <w:t>Polen</w:t>
              </w:r>
            </w:hyperlink>
          </w:p>
        </w:tc>
        <w:tc>
          <w:tcPr>
            <w:tcW w:w="0" w:type="auto"/>
            <w:vAlign w:val="center"/>
            <w:hideMark/>
          </w:tcPr>
          <w:p w:rsidR="0050453D" w:rsidRDefault="0050453D">
            <w:pPr>
              <w:jc w:val="right"/>
              <w:rPr>
                <w:sz w:val="24"/>
                <w:szCs w:val="24"/>
              </w:rPr>
            </w:pPr>
            <w:r>
              <w:t>38.175.000</w:t>
            </w:r>
          </w:p>
        </w:tc>
        <w:tc>
          <w:tcPr>
            <w:tcW w:w="0" w:type="auto"/>
            <w:vAlign w:val="center"/>
            <w:hideMark/>
          </w:tcPr>
          <w:p w:rsidR="0050453D" w:rsidRDefault="0050453D">
            <w:pPr>
              <w:jc w:val="right"/>
              <w:rPr>
                <w:sz w:val="24"/>
                <w:szCs w:val="24"/>
              </w:rPr>
            </w:pPr>
            <w:r>
              <w:t xml:space="preserve">506.228 </w:t>
            </w:r>
          </w:p>
        </w:tc>
        <w:tc>
          <w:tcPr>
            <w:tcW w:w="0" w:type="auto"/>
            <w:vAlign w:val="center"/>
            <w:hideMark/>
          </w:tcPr>
          <w:p w:rsidR="0050453D" w:rsidRDefault="0050453D">
            <w:pPr>
              <w:jc w:val="right"/>
              <w:rPr>
                <w:sz w:val="24"/>
                <w:szCs w:val="24"/>
              </w:rPr>
            </w:pPr>
            <w:r>
              <w:t>1,32 %</w:t>
            </w:r>
          </w:p>
        </w:tc>
        <w:tc>
          <w:tcPr>
            <w:tcW w:w="0" w:type="auto"/>
            <w:vAlign w:val="center"/>
            <w:hideMark/>
          </w:tcPr>
          <w:p w:rsidR="0050453D" w:rsidRDefault="0050453D">
            <w:pPr>
              <w:jc w:val="right"/>
              <w:rPr>
                <w:sz w:val="24"/>
                <w:szCs w:val="24"/>
              </w:rPr>
            </w:pPr>
            <w:r>
              <w:t>476.453</w:t>
            </w:r>
          </w:p>
        </w:tc>
        <w:tc>
          <w:tcPr>
            <w:tcW w:w="0" w:type="auto"/>
            <w:vAlign w:val="center"/>
            <w:hideMark/>
          </w:tcPr>
          <w:p w:rsidR="0050453D" w:rsidRDefault="0050453D">
            <w:pPr>
              <w:jc w:val="right"/>
              <w:rPr>
                <w:sz w:val="24"/>
                <w:szCs w:val="24"/>
              </w:rPr>
            </w:pPr>
            <w:r>
              <w:t>29.775</w:t>
            </w:r>
          </w:p>
        </w:tc>
        <w:tc>
          <w:tcPr>
            <w:tcW w:w="0" w:type="auto"/>
            <w:vAlign w:val="center"/>
            <w:hideMark/>
          </w:tcPr>
          <w:p w:rsidR="0050453D" w:rsidRDefault="0050453D">
            <w:pPr>
              <w:jc w:val="right"/>
              <w:rPr>
                <w:sz w:val="24"/>
                <w:szCs w:val="24"/>
              </w:rPr>
            </w:pPr>
            <w:r>
              <w:t xml:space="preserve">0 </w:t>
            </w:r>
          </w:p>
        </w:tc>
      </w:tr>
      <w:tr w:rsidR="0050453D" w:rsidTr="0050453D">
        <w:trPr>
          <w:tblCellSpacing w:w="15" w:type="dxa"/>
        </w:trPr>
        <w:tc>
          <w:tcPr>
            <w:tcW w:w="0" w:type="auto"/>
            <w:vAlign w:val="center"/>
            <w:hideMark/>
          </w:tcPr>
          <w:p w:rsidR="0050453D" w:rsidRDefault="0050453D">
            <w:pPr>
              <w:rPr>
                <w:sz w:val="24"/>
                <w:szCs w:val="24"/>
              </w:rPr>
            </w:pPr>
            <w:r>
              <w:rPr>
                <w:noProof/>
                <w:color w:val="0000FF"/>
                <w:lang w:eastAsia="de-DE"/>
              </w:rPr>
              <w:drawing>
                <wp:inline distT="0" distB="0" distL="0" distR="0" wp14:anchorId="5A5C54CC" wp14:editId="232E041B">
                  <wp:extent cx="171450" cy="114300"/>
                  <wp:effectExtent l="0" t="0" r="0" b="0"/>
                  <wp:docPr id="2" name="Grafik 2" descr="Tschechien">
                    <a:hlinkClick xmlns:a="http://schemas.openxmlformats.org/drawingml/2006/main" r:id="rId29" tooltip="&quot;Tschechi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schechien">
                            <a:hlinkClick r:id="rId29" tooltip="&quot;Tschechien&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t> </w:t>
            </w:r>
            <w:hyperlink r:id="rId31" w:tooltip="Tschechien" w:history="1">
              <w:r>
                <w:rPr>
                  <w:rStyle w:val="Hyperlink"/>
                </w:rPr>
                <w:t>Tschechien</w:t>
              </w:r>
            </w:hyperlink>
          </w:p>
        </w:tc>
        <w:tc>
          <w:tcPr>
            <w:tcW w:w="0" w:type="auto"/>
            <w:vAlign w:val="center"/>
            <w:hideMark/>
          </w:tcPr>
          <w:p w:rsidR="0050453D" w:rsidRDefault="0050453D">
            <w:pPr>
              <w:jc w:val="right"/>
              <w:rPr>
                <w:sz w:val="24"/>
                <w:szCs w:val="24"/>
              </w:rPr>
            </w:pPr>
            <w:r>
              <w:t>10.200.000</w:t>
            </w:r>
          </w:p>
        </w:tc>
        <w:tc>
          <w:tcPr>
            <w:tcW w:w="0" w:type="auto"/>
            <w:vAlign w:val="center"/>
            <w:hideMark/>
          </w:tcPr>
          <w:p w:rsidR="0050453D" w:rsidRDefault="0050453D">
            <w:pPr>
              <w:jc w:val="right"/>
              <w:rPr>
                <w:sz w:val="24"/>
                <w:szCs w:val="24"/>
              </w:rPr>
            </w:pPr>
            <w:r>
              <w:t xml:space="preserve">92.122 </w:t>
            </w:r>
          </w:p>
        </w:tc>
        <w:tc>
          <w:tcPr>
            <w:tcW w:w="0" w:type="auto"/>
            <w:vAlign w:val="center"/>
            <w:hideMark/>
          </w:tcPr>
          <w:p w:rsidR="0050453D" w:rsidRDefault="0050453D">
            <w:pPr>
              <w:jc w:val="right"/>
              <w:rPr>
                <w:sz w:val="24"/>
                <w:szCs w:val="24"/>
              </w:rPr>
            </w:pPr>
            <w:r>
              <w:t>0,90 %</w:t>
            </w:r>
          </w:p>
        </w:tc>
        <w:tc>
          <w:tcPr>
            <w:tcW w:w="0" w:type="auto"/>
            <w:vAlign w:val="center"/>
            <w:hideMark/>
          </w:tcPr>
          <w:p w:rsidR="0050453D" w:rsidRDefault="0050453D">
            <w:pPr>
              <w:jc w:val="right"/>
              <w:rPr>
                <w:sz w:val="24"/>
                <w:szCs w:val="24"/>
              </w:rPr>
            </w:pPr>
            <w:r>
              <w:t>83.679</w:t>
            </w:r>
          </w:p>
        </w:tc>
        <w:tc>
          <w:tcPr>
            <w:tcW w:w="0" w:type="auto"/>
            <w:vAlign w:val="center"/>
            <w:hideMark/>
          </w:tcPr>
          <w:p w:rsidR="0050453D" w:rsidRDefault="0050453D">
            <w:pPr>
              <w:jc w:val="right"/>
              <w:rPr>
                <w:sz w:val="24"/>
                <w:szCs w:val="24"/>
              </w:rPr>
            </w:pPr>
            <w:r>
              <w:t>6.443</w:t>
            </w:r>
          </w:p>
        </w:tc>
        <w:tc>
          <w:tcPr>
            <w:tcW w:w="0" w:type="auto"/>
            <w:vAlign w:val="center"/>
            <w:hideMark/>
          </w:tcPr>
          <w:p w:rsidR="0050453D" w:rsidRDefault="0050453D">
            <w:pPr>
              <w:jc w:val="right"/>
              <w:rPr>
                <w:sz w:val="24"/>
                <w:szCs w:val="24"/>
              </w:rPr>
            </w:pPr>
            <w:r>
              <w:t xml:space="preserve">2.000 </w:t>
            </w:r>
          </w:p>
        </w:tc>
      </w:tr>
      <w:tr w:rsidR="0050453D" w:rsidTr="0050453D">
        <w:trPr>
          <w:tblCellSpacing w:w="15" w:type="dxa"/>
        </w:trPr>
        <w:tc>
          <w:tcPr>
            <w:tcW w:w="0" w:type="auto"/>
            <w:vAlign w:val="center"/>
            <w:hideMark/>
          </w:tcPr>
          <w:p w:rsidR="0050453D" w:rsidRDefault="0050453D">
            <w:pPr>
              <w:rPr>
                <w:sz w:val="24"/>
                <w:szCs w:val="24"/>
              </w:rPr>
            </w:pPr>
            <w:r>
              <w:rPr>
                <w:noProof/>
                <w:color w:val="0000FF"/>
                <w:lang w:eastAsia="de-DE"/>
              </w:rPr>
              <w:drawing>
                <wp:inline distT="0" distB="0" distL="0" distR="0" wp14:anchorId="30ABA237" wp14:editId="437AE528">
                  <wp:extent cx="190500" cy="95250"/>
                  <wp:effectExtent l="0" t="0" r="0" b="0"/>
                  <wp:docPr id="1" name="Grafik 1" descr="Vereinigtes Königreich">
                    <a:hlinkClick xmlns:a="http://schemas.openxmlformats.org/drawingml/2006/main" r:id="rId32" tooltip="&quot;Vereinigtes Königrei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reinigtes Königreich">
                            <a:hlinkClick r:id="rId32" tooltip="&quot;Vereinigtes Königreich&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r>
              <w:t> </w:t>
            </w:r>
            <w:hyperlink r:id="rId34" w:tooltip="Vereinigtes Königreich" w:history="1">
              <w:r>
                <w:rPr>
                  <w:rStyle w:val="Hyperlink"/>
                </w:rPr>
                <w:t>Vereinigtes Königreich</w:t>
              </w:r>
            </w:hyperlink>
          </w:p>
        </w:tc>
        <w:tc>
          <w:tcPr>
            <w:tcW w:w="0" w:type="auto"/>
            <w:vAlign w:val="center"/>
            <w:hideMark/>
          </w:tcPr>
          <w:p w:rsidR="0050453D" w:rsidRDefault="0050453D">
            <w:pPr>
              <w:jc w:val="right"/>
              <w:rPr>
                <w:sz w:val="24"/>
                <w:szCs w:val="24"/>
              </w:rPr>
            </w:pPr>
            <w:r>
              <w:t>59.553.759</w:t>
            </w:r>
          </w:p>
        </w:tc>
        <w:tc>
          <w:tcPr>
            <w:tcW w:w="0" w:type="auto"/>
            <w:vAlign w:val="center"/>
            <w:hideMark/>
          </w:tcPr>
          <w:p w:rsidR="0050453D" w:rsidRDefault="0050453D">
            <w:pPr>
              <w:jc w:val="right"/>
              <w:rPr>
                <w:sz w:val="24"/>
                <w:szCs w:val="24"/>
              </w:rPr>
            </w:pPr>
            <w:r>
              <w:t xml:space="preserve">58.406 </w:t>
            </w:r>
          </w:p>
        </w:tc>
        <w:tc>
          <w:tcPr>
            <w:tcW w:w="0" w:type="auto"/>
            <w:vAlign w:val="center"/>
            <w:hideMark/>
          </w:tcPr>
          <w:p w:rsidR="0050453D" w:rsidRDefault="0050453D">
            <w:pPr>
              <w:jc w:val="right"/>
              <w:rPr>
                <w:sz w:val="24"/>
                <w:szCs w:val="24"/>
              </w:rPr>
            </w:pPr>
            <w:r>
              <w:t>0,10 %</w:t>
            </w:r>
          </w:p>
        </w:tc>
        <w:tc>
          <w:tcPr>
            <w:tcW w:w="0" w:type="auto"/>
            <w:vAlign w:val="center"/>
            <w:hideMark/>
          </w:tcPr>
          <w:p w:rsidR="0050453D" w:rsidRDefault="0050453D">
            <w:pPr>
              <w:jc w:val="right"/>
              <w:rPr>
                <w:sz w:val="24"/>
                <w:szCs w:val="24"/>
              </w:rPr>
            </w:pPr>
            <w:r>
              <w:t>1.227</w:t>
            </w:r>
          </w:p>
        </w:tc>
        <w:tc>
          <w:tcPr>
            <w:tcW w:w="0" w:type="auto"/>
            <w:vAlign w:val="center"/>
            <w:hideMark/>
          </w:tcPr>
          <w:p w:rsidR="0050453D" w:rsidRDefault="0050453D">
            <w:pPr>
              <w:jc w:val="right"/>
              <w:rPr>
                <w:sz w:val="24"/>
                <w:szCs w:val="24"/>
              </w:rPr>
            </w:pPr>
            <w:r>
              <w:t>39.058</w:t>
            </w:r>
          </w:p>
        </w:tc>
        <w:tc>
          <w:tcPr>
            <w:tcW w:w="0" w:type="auto"/>
            <w:vAlign w:val="center"/>
            <w:hideMark/>
          </w:tcPr>
          <w:p w:rsidR="0050453D" w:rsidRDefault="0050453D">
            <w:pPr>
              <w:jc w:val="right"/>
              <w:rPr>
                <w:sz w:val="24"/>
                <w:szCs w:val="24"/>
              </w:rPr>
            </w:pPr>
            <w:r>
              <w:t>18.121</w:t>
            </w:r>
          </w:p>
        </w:tc>
      </w:tr>
    </w:tbl>
    <w:p w:rsidR="00672F43" w:rsidRDefault="00672F43" w:rsidP="0044090B"/>
    <w:sectPr w:rsidR="00672F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0B"/>
    <w:rsid w:val="0044090B"/>
    <w:rsid w:val="0050453D"/>
    <w:rsid w:val="00672F43"/>
    <w:rsid w:val="00774BCB"/>
    <w:rsid w:val="00D033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409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4090B"/>
    <w:rPr>
      <w:color w:val="0000FF"/>
      <w:u w:val="single"/>
    </w:rPr>
  </w:style>
  <w:style w:type="paragraph" w:styleId="KeinLeerraum">
    <w:name w:val="No Spacing"/>
    <w:uiPriority w:val="1"/>
    <w:qFormat/>
    <w:rsid w:val="0044090B"/>
    <w:pPr>
      <w:spacing w:after="0" w:line="240" w:lineRule="auto"/>
    </w:pPr>
  </w:style>
  <w:style w:type="paragraph" w:styleId="Sprechblasentext">
    <w:name w:val="Balloon Text"/>
    <w:basedOn w:val="Standard"/>
    <w:link w:val="SprechblasentextZchn"/>
    <w:uiPriority w:val="99"/>
    <w:semiHidden/>
    <w:unhideWhenUsed/>
    <w:rsid w:val="005045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45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409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44090B"/>
    <w:rPr>
      <w:color w:val="0000FF"/>
      <w:u w:val="single"/>
    </w:rPr>
  </w:style>
  <w:style w:type="paragraph" w:styleId="KeinLeerraum">
    <w:name w:val="No Spacing"/>
    <w:uiPriority w:val="1"/>
    <w:qFormat/>
    <w:rsid w:val="0044090B"/>
    <w:pPr>
      <w:spacing w:after="0" w:line="240" w:lineRule="auto"/>
    </w:pPr>
  </w:style>
  <w:style w:type="paragraph" w:styleId="Sprechblasentext">
    <w:name w:val="Balloon Text"/>
    <w:basedOn w:val="Standard"/>
    <w:link w:val="SprechblasentextZchn"/>
    <w:uiPriority w:val="99"/>
    <w:semiHidden/>
    <w:unhideWhenUsed/>
    <w:rsid w:val="005045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045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49692">
      <w:bodyDiv w:val="1"/>
      <w:marLeft w:val="0"/>
      <w:marRight w:val="0"/>
      <w:marTop w:val="0"/>
      <w:marBottom w:val="0"/>
      <w:divBdr>
        <w:top w:val="none" w:sz="0" w:space="0" w:color="auto"/>
        <w:left w:val="none" w:sz="0" w:space="0" w:color="auto"/>
        <w:bottom w:val="none" w:sz="0" w:space="0" w:color="auto"/>
        <w:right w:val="none" w:sz="0" w:space="0" w:color="auto"/>
      </w:divBdr>
    </w:div>
    <w:div w:id="982658411">
      <w:bodyDiv w:val="1"/>
      <w:marLeft w:val="0"/>
      <w:marRight w:val="0"/>
      <w:marTop w:val="0"/>
      <w:marBottom w:val="0"/>
      <w:divBdr>
        <w:top w:val="none" w:sz="0" w:space="0" w:color="auto"/>
        <w:left w:val="none" w:sz="0" w:space="0" w:color="auto"/>
        <w:bottom w:val="none" w:sz="0" w:space="0" w:color="auto"/>
        <w:right w:val="none" w:sz="0" w:space="0" w:color="auto"/>
      </w:divBdr>
    </w:div>
    <w:div w:id="164458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D%C3%A4nemark" TargetMode="External"/><Relationship Id="rId13" Type="http://schemas.openxmlformats.org/officeDocument/2006/relationships/hyperlink" Target="https://de.wikipedia.org/wiki/Finnland" TargetMode="External"/><Relationship Id="rId18" Type="http://schemas.openxmlformats.org/officeDocument/2006/relationships/image" Target="media/image5.png"/><Relationship Id="rId26" Type="http://schemas.openxmlformats.org/officeDocument/2006/relationships/hyperlink" Target="https://de.wikipedia.org/wiki/Polen" TargetMode="External"/><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hyperlink" Target="https://de.wikipedia.org/wiki/Vereinigtes_K%C3%B6nigreich" TargetMode="External"/><Relationship Id="rId7" Type="http://schemas.openxmlformats.org/officeDocument/2006/relationships/hyperlink" Target="https://de.wikipedia.org/wiki/Deutschland" TargetMode="External"/><Relationship Id="rId12" Type="http://schemas.openxmlformats.org/officeDocument/2006/relationships/image" Target="media/image3.png"/><Relationship Id="rId17" Type="http://schemas.openxmlformats.org/officeDocument/2006/relationships/hyperlink" Target="https://de.wikipedia.org/wiki/Griechenland" TargetMode="External"/><Relationship Id="rId25" Type="http://schemas.openxmlformats.org/officeDocument/2006/relationships/hyperlink" Target="https://de.wikipedia.org/wiki/%C3%96sterreich" TargetMode="External"/><Relationship Id="rId33" Type="http://schemas.openxmlformats.org/officeDocument/2006/relationships/image" Target="media/image10.png"/><Relationship Id="rId2" Type="http://schemas.microsoft.com/office/2007/relationships/stylesWithEffects" Target="stylesWithEffects.xml"/><Relationship Id="rId16" Type="http://schemas.openxmlformats.org/officeDocument/2006/relationships/hyperlink" Target="https://de.wikipedia.org/wiki/Frankreich" TargetMode="External"/><Relationship Id="rId20" Type="http://schemas.openxmlformats.org/officeDocument/2006/relationships/hyperlink" Target="https://de.wikipedia.org/wiki/Italien" TargetMode="External"/><Relationship Id="rId29" Type="http://schemas.openxmlformats.org/officeDocument/2006/relationships/hyperlink" Target="https://de.wikipedia.org/wiki/Tschechien"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e.wikipedia.org/wiki/Finnland" TargetMode="External"/><Relationship Id="rId24" Type="http://schemas.openxmlformats.org/officeDocument/2006/relationships/image" Target="media/image7.png"/><Relationship Id="rId32" Type="http://schemas.openxmlformats.org/officeDocument/2006/relationships/hyperlink" Target="https://de.wikipedia.org/wiki/Vereinigtes_K%C3%B6nigreich" TargetMode="External"/><Relationship Id="rId5" Type="http://schemas.openxmlformats.org/officeDocument/2006/relationships/hyperlink" Target="https://de.wikipedia.org/wiki/Deutschland" TargetMode="External"/><Relationship Id="rId15" Type="http://schemas.openxmlformats.org/officeDocument/2006/relationships/image" Target="media/image4.png"/><Relationship Id="rId23" Type="http://schemas.openxmlformats.org/officeDocument/2006/relationships/hyperlink" Target="https://de.wikipedia.org/wiki/%C3%96sterreich" TargetMode="External"/><Relationship Id="rId28" Type="http://schemas.openxmlformats.org/officeDocument/2006/relationships/hyperlink" Target="https://de.wikipedia.org/wiki/Polen" TargetMode="External"/><Relationship Id="rId36" Type="http://schemas.openxmlformats.org/officeDocument/2006/relationships/theme" Target="theme/theme1.xml"/><Relationship Id="rId10" Type="http://schemas.openxmlformats.org/officeDocument/2006/relationships/hyperlink" Target="https://de.wikipedia.org/wiki/D%C3%A4nemark" TargetMode="External"/><Relationship Id="rId19" Type="http://schemas.openxmlformats.org/officeDocument/2006/relationships/hyperlink" Target="https://de.wikipedia.org/wiki/Griechenland" TargetMode="External"/><Relationship Id="rId31" Type="http://schemas.openxmlformats.org/officeDocument/2006/relationships/hyperlink" Target="https://de.wikipedia.org/wiki/Tschechi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Frankreich" TargetMode="External"/><Relationship Id="rId22" Type="http://schemas.openxmlformats.org/officeDocument/2006/relationships/hyperlink" Target="https://de.wikipedia.org/wiki/Italien" TargetMode="External"/><Relationship Id="rId27" Type="http://schemas.openxmlformats.org/officeDocument/2006/relationships/image" Target="media/image8.png"/><Relationship Id="rId30" Type="http://schemas.openxmlformats.org/officeDocument/2006/relationships/image" Target="media/image9.png"/><Relationship Id="rId35"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4250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Rauch Johanna</dc:creator>
  <cp:lastModifiedBy>Rauch Johanna</cp:lastModifiedBy>
  <cp:revision>3</cp:revision>
  <dcterms:created xsi:type="dcterms:W3CDTF">2018-04-23T12:52:00Z</dcterms:created>
  <dcterms:modified xsi:type="dcterms:W3CDTF">2018-05-29T09:58:00Z</dcterms:modified>
</cp:coreProperties>
</file>